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Arial" w:hAnsi="Arial"/>
          <w:b/>
          <w:sz w:val="28"/>
        </w:rPr>
        <w:t>ADS-REP-001 — Representation and Business Contact Directory</w:t>
      </w:r>
    </w:p>
    <w:p>
      <w:pPr>
        <w:spacing w:after="80"/>
        <w:jc w:val="center"/>
      </w:pPr>
      <w:r>
        <w:rPr>
          <w:rFonts w:ascii="Arial" w:hAnsi="Arial"/>
          <w:i/>
          <w:sz w:val="17"/>
        </w:rPr>
        <w:t>Aurora Design Studios LLC • Updated book-query and representation outreach map</w:t>
      </w:r>
    </w:p>
    <w:p>
      <w:pPr>
        <w:spacing w:after="40"/>
      </w:pPr>
      <w:r>
        <w:rPr>
          <w:rFonts w:ascii="Arial" w:hAnsi="Arial"/>
          <w:b/>
          <w:sz w:val="16"/>
        </w:rPr>
        <w:t xml:space="preserve">Core rule: </w:t>
      </w:r>
      <w:r>
        <w:rPr>
          <w:rFonts w:ascii="Arial" w:hAnsi="Arial"/>
          <w:sz w:val="16"/>
        </w:rPr>
        <w:t>Do not send scripts, pitch decks, treatments, manuscripts, bibles, CAD files, invention disclosures, or confidential material unless a verified professional specifically requests them.</w:t>
      </w:r>
    </w:p>
    <w:p>
      <w:pPr>
        <w:spacing w:after="40"/>
      </w:pPr>
      <w:r>
        <w:rPr>
          <w:rFonts w:ascii="Arial" w:hAnsi="Arial"/>
          <w:b/>
          <w:sz w:val="16"/>
        </w:rPr>
        <w:t xml:space="preserve">Book-query rule: </w:t>
      </w:r>
      <w:r>
        <w:rPr>
          <w:rFonts w:ascii="Arial" w:hAnsi="Arial"/>
          <w:sz w:val="16"/>
        </w:rPr>
        <w:t>For literary/book agents, lead with one flagship book, include title, genre, word count, query, synopsis/sample as requested, and avoid attachments unless the agency specifically asks for them.</w:t>
      </w:r>
    </w:p>
    <w:p>
      <w:pPr>
        <w:spacing w:before="40" w:after="40"/>
      </w:pPr>
      <w:r>
        <w:rPr>
          <w:rFonts w:ascii="Arial" w:hAnsi="Arial"/>
          <w:b/>
          <w:sz w:val="22"/>
        </w:rPr>
        <w:t>Email-Ready Book Query Targets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944"/>
        <w:gridCol w:w="4944"/>
        <w:gridCol w:w="4944"/>
      </w:tblGrid>
      <w:tr>
        <w:tc>
          <w:tcPr>
            <w:tcW w:type="dxa" w:w="3671"/>
            <w:shd w:fill="D9EAF7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5"/>
              </w:rPr>
              <w:t>Agency / Agent</w:t>
            </w:r>
          </w:p>
        </w:tc>
        <w:tc>
          <w:tcPr>
            <w:tcW w:type="dxa" w:w="3671"/>
            <w:shd w:fill="D9EAF7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5"/>
              </w:rPr>
              <w:t>Email</w:t>
            </w:r>
          </w:p>
        </w:tc>
        <w:tc>
          <w:tcPr>
            <w:tcW w:type="dxa" w:w="7488"/>
            <w:shd w:fill="D9EAF7"/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sz w:val="15"/>
              </w:rPr>
              <w:t>Notes</w:t>
            </w:r>
          </w:p>
        </w:tc>
      </w:tr>
      <w:tr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InkWell Management</w:t>
            </w:r>
          </w:p>
        </w:tc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submissions@inkwellmanagement.com</w:t>
            </w:r>
          </w:p>
        </w:tc>
        <w:tc>
          <w:tcPr>
            <w:tcW w:type="dxa" w:w="7488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Query + 1–2 chapters in body. No screenplays.</w:t>
            </w:r>
          </w:p>
        </w:tc>
      </w:tr>
      <w:tr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Ethan Ellenberg Literary Agency</w:t>
            </w:r>
          </w:p>
        </w:tc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agent@ethanellenberg.com</w:t>
            </w:r>
          </w:p>
        </w:tc>
        <w:tc>
          <w:tcPr>
            <w:tcW w:type="dxa" w:w="7488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Query, 1–2 page synopsis, first 50 pages in body. No attachments.</w:t>
            </w:r>
          </w:p>
        </w:tc>
      </w:tr>
      <w:tr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P.S. Literary Agency</w:t>
            </w:r>
          </w:p>
        </w:tc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query@psliterary.com</w:t>
            </w:r>
          </w:p>
        </w:tc>
        <w:tc>
          <w:tcPr>
            <w:tcW w:type="dxa" w:w="7488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Query one agent only; follow agency format.</w:t>
            </w:r>
          </w:p>
        </w:tc>
      </w:tr>
      <w:tr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Megibow Literary — Sara Megibow</w:t>
            </w:r>
          </w:p>
        </w:tc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saraquery@megibowliterary.com</w:t>
            </w:r>
          </w:p>
        </w:tc>
        <w:tc>
          <w:tcPr>
            <w:tcW w:type="dxa" w:w="7488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Query + first 10 pages + author website if available.</w:t>
            </w:r>
          </w:p>
        </w:tc>
      </w:tr>
      <w:tr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Megibow Literary — Matthew</w:t>
            </w:r>
          </w:p>
        </w:tc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matthewquery@megibowliterary.com</w:t>
            </w:r>
          </w:p>
        </w:tc>
        <w:tc>
          <w:tcPr>
            <w:tcW w:type="dxa" w:w="7488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Use only during posted open window; query + first 10 pages.</w:t>
            </w:r>
          </w:p>
        </w:tc>
      </w:tr>
      <w:tr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Harvey Klinger — Andrea Somberg</w:t>
            </w:r>
          </w:p>
        </w:tc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andrea@harveyklinger.com</w:t>
            </w:r>
          </w:p>
        </w:tc>
        <w:tc>
          <w:tcPr>
            <w:tcW w:type="dxa" w:w="7488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Query one Harvey Klinger agent at a time; no screenplays.</w:t>
            </w:r>
          </w:p>
        </w:tc>
      </w:tr>
      <w:tr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Harvey Klinger — Rachel Ridout</w:t>
            </w:r>
          </w:p>
        </w:tc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rachel@harveyklinger.com</w:t>
            </w:r>
          </w:p>
        </w:tc>
        <w:tc>
          <w:tcPr>
            <w:tcW w:type="dxa" w:w="7488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Secondary science-fiction/imagination-forward target; no screenplays.</w:t>
            </w:r>
          </w:p>
        </w:tc>
      </w:tr>
      <w:tr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Context Literary — Celsie Moseley</w:t>
            </w:r>
          </w:p>
        </w:tc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querycelsie@contextlit.com</w:t>
            </w:r>
          </w:p>
        </w:tc>
        <w:tc>
          <w:tcPr>
            <w:tcW w:type="dxa" w:w="7488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Short description, short bio, 5–10 pages in body. No attachments.</w:t>
            </w:r>
          </w:p>
        </w:tc>
      </w:tr>
      <w:tr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Transatlantic — Jo Ramsay</w:t>
            </w:r>
          </w:p>
        </w:tc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queryjo@transatlanticagency.com</w:t>
            </w:r>
          </w:p>
        </w:tc>
        <w:tc>
          <w:tcPr>
            <w:tcW w:type="dxa" w:w="7488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Query, author bio, 20-page sample in body.</w:t>
            </w:r>
          </w:p>
        </w:tc>
      </w:tr>
      <w:tr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Transatlantic — Noelle Falcis Math</w:t>
            </w:r>
          </w:p>
        </w:tc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querynoelle@transatlanticagency.com</w:t>
            </w:r>
          </w:p>
        </w:tc>
        <w:tc>
          <w:tcPr>
            <w:tcW w:type="dxa" w:w="7488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Check open/closed status first; when open, query + bio + 25-page sample.</w:t>
            </w:r>
          </w:p>
        </w:tc>
      </w:tr>
      <w:tr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Transatlantic — Amanda Orozco</w:t>
            </w:r>
          </w:p>
        </w:tc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queryamanda@transatlanticagency.com</w:t>
            </w:r>
          </w:p>
        </w:tc>
        <w:tc>
          <w:tcPr>
            <w:tcW w:type="dxa" w:w="7488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Typically first month of each quarter; query + bio + 25-page sample.</w:t>
            </w:r>
          </w:p>
        </w:tc>
      </w:tr>
      <w:tr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The Lotts Agency — Chris Lotts</w:t>
            </w:r>
          </w:p>
        </w:tc>
        <w:tc>
          <w:tcPr>
            <w:tcW w:type="dxa" w:w="3671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querycl@lottsagency.com</w:t>
            </w:r>
          </w:p>
        </w:tc>
        <w:tc>
          <w:tcPr>
            <w:tcW w:type="dxa" w:w="7488"/>
            <w:vAlign w:val="top"/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sz w:val="14"/>
              </w:rPr>
              <w:t>Lower priority; verify open status before sending.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44"/>
        <w:gridCol w:w="4944"/>
        <w:gridCol w:w="4944"/>
      </w:tblGrid>
      <w:tr>
        <w:tc>
          <w:tcPr>
            <w:tcW w:type="dxa" w:w="4944"/>
            <w:shd w:fill="EEF5FA"/>
            <w:vAlign w:val="top"/>
          </w:tcPr>
          <w:p>
            <w:pPr>
              <w:spacing w:after="20"/>
            </w:pPr>
            <w:r/>
            <w:r>
              <w:rPr>
                <w:rFonts w:ascii="Arial" w:hAnsi="Arial"/>
                <w:b/>
                <w:sz w:val="16"/>
              </w:rPr>
              <w:t>Profile-only / no public email</w:t>
            </w:r>
          </w:p>
          <w:p>
            <w:pPr>
              <w:spacing w:after="0"/>
            </w:pPr>
            <w:r>
              <w:rPr>
                <w:rFonts w:ascii="Arial" w:hAnsi="Arial"/>
                <w:sz w:val="14"/>
              </w:rPr>
              <w:t>WME Books: query one WME Books agent through the profile/query button; books only, no screenplays.</w:t>
              <w:br/>
              <w:t>CAA Books: use individual agent profile route; books only, no screenplays.</w:t>
            </w:r>
          </w:p>
        </w:tc>
        <w:tc>
          <w:tcPr>
            <w:tcW w:type="dxa" w:w="4944"/>
            <w:shd w:fill="EEF5FA"/>
            <w:vAlign w:val="top"/>
          </w:tcPr>
          <w:p>
            <w:pPr>
              <w:spacing w:after="20"/>
            </w:pPr>
            <w:r/>
            <w:r>
              <w:rPr>
                <w:rFonts w:ascii="Arial" w:hAnsi="Arial"/>
                <w:b/>
                <w:sz w:val="16"/>
              </w:rPr>
              <w:t>QueryManager / non-email routes</w:t>
            </w:r>
          </w:p>
          <w:p>
            <w:pPr>
              <w:spacing w:after="0"/>
            </w:pPr>
            <w:r>
              <w:rPr>
                <w:rFonts w:ascii="Arial" w:hAnsi="Arial"/>
                <w:sz w:val="14"/>
              </w:rPr>
              <w:t>JABberwocky: strong SFF route; verify open status and use QueryManager or agent-specific route.</w:t>
              <w:br/>
              <w:t>BookEnds: use selected agent QueryManager/wishlist; no email blast.</w:t>
            </w:r>
          </w:p>
        </w:tc>
        <w:tc>
          <w:tcPr>
            <w:tcW w:type="dxa" w:w="4944"/>
            <w:shd w:fill="EEF5FA"/>
            <w:vAlign w:val="top"/>
          </w:tcPr>
          <w:p>
            <w:pPr>
              <w:spacing w:after="20"/>
            </w:pPr>
            <w:r/>
            <w:r>
              <w:rPr>
                <w:rFonts w:ascii="Arial" w:hAnsi="Arial"/>
                <w:b/>
                <w:sz w:val="16"/>
              </w:rPr>
              <w:t>Outreach split</w:t>
            </w:r>
          </w:p>
          <w:p>
            <w:pPr>
              <w:spacing w:after="0"/>
            </w:pPr>
            <w:r>
              <w:rPr>
                <w:rFonts w:ascii="Arial" w:hAnsi="Arial"/>
                <w:sz w:val="14"/>
              </w:rPr>
              <w:t>Email 1: attorneys, screenwriting managers, rights and production/legal contacts.</w:t>
              <w:br/>
              <w:t>Email 2: book agents only, one polished flagship novel at a time.</w:t>
              <w:br/>
              <w:t>Flagship order: E-Citizen, Europa Strain, Chrono-Anchor.</w:t>
            </w:r>
          </w:p>
        </w:tc>
      </w:tr>
    </w:tbl>
    <w:sectPr w:rsidR="00FC693F" w:rsidRPr="0006063C" w:rsidSect="00034616">
      <w:footerReference w:type="default" r:id="rId9"/>
      <w:pgSz w:w="15840" w:h="12240" w:orient="landscape"/>
      <w:pgMar w:top="504" w:right="504" w:bottom="504" w:left="5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4"/>
      </w:rPr>
      <w:t>Aurora Design Studios LLC • ADS-REP-001 • Working directory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